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3A624BE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Líšková</w:t>
            </w:r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E8B10A3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00AE272E" w:rsidR="00500888" w:rsidRPr="007E1DDE" w:rsidRDefault="00500888" w:rsidP="005D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PhD.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16406376" w:rsidR="00500888" w:rsidRPr="005B40FD" w:rsidRDefault="00500888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71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</w:t>
            </w: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703D0212" w:rsidR="00500888" w:rsidRDefault="00954E17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VZ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output</w:t>
            </w:r>
            <w:proofErr w:type="spellEnd"/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3300574F" w:rsidR="00500888" w:rsidRDefault="001655DD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430D0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35117056" w:rsidR="00500888" w:rsidRPr="00930CA2" w:rsidRDefault="00500888" w:rsidP="00862380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2C9DEE" w14:textId="4E5D86D6" w:rsidR="00430D0E" w:rsidRPr="00430D0E" w:rsidRDefault="00430D0E" w:rsidP="00430D0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Am J </w:t>
            </w:r>
            <w:proofErr w:type="spellStart"/>
            <w:r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>Infect</w:t>
            </w:r>
            <w:proofErr w:type="spellEnd"/>
            <w:r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>Control</w:t>
            </w:r>
            <w:proofErr w:type="spellEnd"/>
            <w:r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. 2022 Mar 7;S0196-6553(22)00138-9. </w:t>
            </w:r>
          </w:p>
          <w:p w14:paraId="1008228F" w14:textId="2BB39279" w:rsidR="001655DD" w:rsidRPr="00A55376" w:rsidRDefault="00430D0E" w:rsidP="00430D0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>doi</w:t>
            </w:r>
            <w:proofErr w:type="spellEnd"/>
            <w:r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>: 10.1016/j.ajic.2022.02.031.</w:t>
            </w: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938A33" w14:textId="77777777" w:rsidR="00430D0E" w:rsidRPr="00430D0E" w:rsidRDefault="00430D0E" w:rsidP="00430D0E">
            <w:pPr>
              <w:spacing w:after="0" w:line="240" w:lineRule="auto"/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</w:pP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begin"/>
            </w: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 HYPERLINK "</w:instrText>
            </w:r>
            <w:r w:rsidRPr="00430D0E"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br/>
            </w:r>
            <w:r w:rsidRPr="00430D0E">
              <w:rPr>
                <w:rFonts w:eastAsia="Times New Roman" w:cs="Times New Roman"/>
                <w:i/>
                <w:iCs/>
                <w:color w:val="0000FF"/>
                <w:sz w:val="16"/>
                <w:szCs w:val="16"/>
                <w:u w:val="single"/>
                <w:lang w:eastAsia="sk-SK"/>
              </w:rPr>
              <w:instrText>https://pubmed.ncbi.nlm.nih.gov</w:instrText>
            </w:r>
          </w:p>
          <w:p w14:paraId="0029A35E" w14:textId="77777777" w:rsidR="00430D0E" w:rsidRPr="006B0DF7" w:rsidRDefault="00430D0E" w:rsidP="00430D0E">
            <w:pPr>
              <w:spacing w:after="0" w:line="240" w:lineRule="auto"/>
              <w:rPr>
                <w:rStyle w:val="Hypertextovprepojenie"/>
                <w:rFonts w:eastAsia="Times New Roman" w:cs="Times New Roman"/>
                <w:sz w:val="16"/>
                <w:szCs w:val="16"/>
                <w:lang w:eastAsia="sk-SK"/>
              </w:rPr>
            </w:pP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" </w:instrText>
            </w: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separate"/>
            </w:r>
            <w:r w:rsidRPr="006B0DF7">
              <w:rPr>
                <w:rStyle w:val="Hypertextovprepojenie"/>
                <w:rFonts w:eastAsia="Times New Roman" w:cs="Times New Roman"/>
                <w:sz w:val="16"/>
                <w:szCs w:val="16"/>
                <w:lang w:eastAsia="sk-SK"/>
              </w:rPr>
              <w:br/>
            </w:r>
            <w:bookmarkStart w:id="1" w:name="_GoBack"/>
            <w:r w:rsidRPr="006B0DF7">
              <w:rPr>
                <w:rStyle w:val="Hypertextovprepojenie"/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>https://pubmed.ncbi.nlm.nih.gov</w:t>
            </w:r>
            <w:bookmarkEnd w:id="1"/>
          </w:p>
          <w:p w14:paraId="1EBB6823" w14:textId="586D02A5" w:rsidR="00500888" w:rsidRPr="00E31F09" w:rsidRDefault="00430D0E" w:rsidP="00430D0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end"/>
            </w: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C19766" w14:textId="77777777" w:rsidR="00430D0E" w:rsidRPr="00D93D60" w:rsidRDefault="008F0EAC" w:rsidP="00430D0E">
            <w:pPr>
              <w:rPr>
                <w:sz w:val="16"/>
                <w:szCs w:val="16"/>
              </w:rPr>
            </w:pP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Ilker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Devrim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Hakan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Erdem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Amani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El-Kholy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Abdullah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Almohaizeie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Mateja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Logar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Bilal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Ahmad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Rahimi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Fatma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Amer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Sevil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Alkan-Ceviker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Meliha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Cagla-Sonmezer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Maya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Belitova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Jamal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Wadi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Al-Ramahi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Natalia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Pshenichnaya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Maha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Gad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Lurdes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Santos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Reham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Khedr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Abdullahi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Nur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Hassan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Elif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Boncuoglu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Andrea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Cortegiani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Andrea Marino, Anna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Liskova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Atousa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Hakamifard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Corneliu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Petru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Popescu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Mumtaz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Khan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Ralitsa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Marinova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Nikolaj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Petrov,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Emmanuel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Nsutebu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Ghaydaa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Shehata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Hamed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Azhdari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Tehrani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Handan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Alay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Ivana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Mareković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Joanna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Zajkowska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Aidos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Konkayev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Manar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Ezz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Elarab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Ramdan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Michele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Pagani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Hasan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Agin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Pierre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Tattevin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Rehab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El-Sokkary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Rezaul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Karim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Ripon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Ricardo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Fernandez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Rosa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Fontana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Del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Vecchio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Simona Daniela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Popescu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Souha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Kanj</w:t>
            </w:r>
            <w:proofErr w:type="spellEnd"/>
            <w:r w:rsidRPr="008F0EAC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>.</w:t>
            </w:r>
            <w:r w:rsidR="00430D0E">
              <w:rPr>
                <w:rFonts w:eastAsia="Times New Roman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430D0E" w:rsidRPr="00D93D60">
              <w:rPr>
                <w:rFonts w:eastAsia="Times New Roman" w:cs="Arial"/>
                <w:color w:val="000000"/>
                <w:sz w:val="16"/>
                <w:szCs w:val="16"/>
                <w:lang w:val="en-US" w:eastAsia="sk-SK"/>
              </w:rPr>
              <w:t>ID-IRI Study of “</w:t>
            </w:r>
            <w:r w:rsidR="00430D0E" w:rsidRPr="00D93D6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en-US" w:eastAsia="sk-SK"/>
              </w:rPr>
              <w:t>Analyzing central-line associated bloodstream infection prevention bundles in 22 countries: The results of ID-IRI survey</w:t>
            </w:r>
            <w:r w:rsidR="00430D0E" w:rsidRPr="00D93D60">
              <w:rPr>
                <w:rFonts w:eastAsia="Times New Roman" w:cs="Arial"/>
                <w:color w:val="000000"/>
                <w:sz w:val="16"/>
                <w:szCs w:val="16"/>
                <w:lang w:val="en-US" w:eastAsia="sk-SK"/>
              </w:rPr>
              <w:t>”</w:t>
            </w:r>
          </w:p>
          <w:p w14:paraId="0576184D" w14:textId="3605B370" w:rsidR="008F0EAC" w:rsidRPr="008F0EAC" w:rsidRDefault="008F0EAC" w:rsidP="008F0EAC">
            <w:pPr>
              <w:spacing w:after="0" w:line="36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</w:p>
          <w:p w14:paraId="359CE336" w14:textId="77777777" w:rsidR="00500888" w:rsidRPr="00E31F09" w:rsidRDefault="00500888" w:rsidP="008F0EAC">
            <w:pPr>
              <w:pStyle w:val="Odsekzoznamu"/>
              <w:spacing w:after="0" w:line="240" w:lineRule="auto"/>
              <w:ind w:left="9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6401554" w:rsidR="00500888" w:rsidRPr="00714638" w:rsidRDefault="00930CA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E0CF9A" w14:textId="77777777" w:rsidR="00A55376" w:rsidRPr="00A55376" w:rsidRDefault="00A55376" w:rsidP="00930CA2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 HYPERLINK "</w:instrText>
            </w:r>
            <w:r w:rsidRPr="00A5537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br/>
              <w:instrText>https://www.google.com/search?client=firefox-b-d&amp;sxsrf=ALiCzsa8ObRUueRIzNbb7qdMbNqrIw_4-w:1666190267723&amp;q=Anna+Liskova,+Vladimir+Zajac:+Identification+of+coronavirus+in+rectal+swab+from+persons+infected+15-25+days+ago.+World+Journal+of+Advanced+Research+and+Reviews,+2021,+10+(01),+356-359&amp;spell=1&amp;sa=X&amp;ved=2ahUKEwjZo6S4wuz6AhUEOXoKHZPcDSUQBSgAegQIBxAB&amp;biw=1280&amp;bih=899&amp;dpr=1</w:instrText>
            </w:r>
          </w:p>
          <w:p w14:paraId="13C14176" w14:textId="77777777" w:rsidR="00430D0E" w:rsidRPr="00430D0E" w:rsidRDefault="00A55376" w:rsidP="00430D0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" </w:instrText>
            </w: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separate"/>
            </w:r>
            <w:r w:rsidRPr="006B0DF7">
              <w:rPr>
                <w:rStyle w:val="Hypertextovprepojenie"/>
                <w:rFonts w:ascii="Calibri" w:eastAsia="Times New Roman" w:hAnsi="Calibri" w:cs="Times New Roman"/>
                <w:sz w:val="16"/>
                <w:szCs w:val="16"/>
                <w:lang w:eastAsia="sk-SK"/>
              </w:rPr>
              <w:br/>
            </w:r>
            <w:r w:rsidR="00430D0E"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Am J </w:t>
            </w:r>
            <w:proofErr w:type="spellStart"/>
            <w:r w:rsidR="00430D0E"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>Infect</w:t>
            </w:r>
            <w:proofErr w:type="spellEnd"/>
            <w:r w:rsidR="00430D0E"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30D0E"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>Control</w:t>
            </w:r>
            <w:proofErr w:type="spellEnd"/>
            <w:r w:rsidR="00430D0E"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. 2022 Mar 7;S0196-6553(22)00138-9. </w:t>
            </w:r>
          </w:p>
          <w:p w14:paraId="3E890F67" w14:textId="77F90FD3" w:rsidR="00A55376" w:rsidRPr="006B0DF7" w:rsidRDefault="00430D0E" w:rsidP="00430D0E">
            <w:pPr>
              <w:spacing w:after="0" w:line="240" w:lineRule="auto"/>
              <w:rPr>
                <w:rStyle w:val="Hypertextovprepojenie"/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  <w:proofErr w:type="spellStart"/>
            <w:r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>doi</w:t>
            </w:r>
            <w:proofErr w:type="spellEnd"/>
            <w:r w:rsidRPr="00430D0E">
              <w:rPr>
                <w:rFonts w:eastAsia="Times New Roman" w:cs="Times New Roman"/>
                <w:sz w:val="16"/>
                <w:szCs w:val="16"/>
                <w:lang w:eastAsia="sk-SK"/>
              </w:rPr>
              <w:t>: 10.1016/j.ajic.2022.02.031.</w:t>
            </w:r>
          </w:p>
          <w:p w14:paraId="1CF7AA41" w14:textId="2B20AEB2" w:rsidR="00930CA2" w:rsidRPr="00930CA2" w:rsidRDefault="00A55376" w:rsidP="00930CA2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end"/>
            </w:r>
          </w:p>
          <w:p w14:paraId="6034D19C" w14:textId="25B68F96" w:rsidR="00500888" w:rsidRPr="00E31F09" w:rsidRDefault="00500888" w:rsidP="00930CA2">
            <w:pPr>
              <w:spacing w:before="100" w:beforeAutospacing="1" w:after="100" w:afterAutospacing="1" w:line="240" w:lineRule="auto"/>
              <w:outlineLvl w:val="1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4E6A488F" w:rsidR="00500888" w:rsidRDefault="00463824" w:rsidP="00430D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autorky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Anna Líšková </w:t>
            </w:r>
            <w:r w:rsidR="00430D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2,5</w:t>
            </w:r>
            <w:r w:rsidR="000A25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430D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2,</w:t>
            </w:r>
            <w:r w:rsidR="000A25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50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66A5C5" w14:textId="77777777" w:rsidR="00430D0E" w:rsidRPr="00305537" w:rsidRDefault="00430D0E" w:rsidP="00430D0E">
            <w:pPr>
              <w:rPr>
                <w:sz w:val="16"/>
                <w:szCs w:val="16"/>
              </w:rPr>
            </w:pPr>
            <w:r w:rsidRPr="00305537">
              <w:rPr>
                <w:sz w:val="16"/>
                <w:szCs w:val="16"/>
              </w:rPr>
              <w:t>Účastníci na jednotkách intenzívnej starostlivosti (JIS) vyplnili dotazník, ktorý obsahoval informácie o zdravotnom stredisku, postupoch kontroly infekcií a údržbe centrálnej linky. Krajiny boli rozdelené do 2 skupín: krajiny s nízkym alebo nízkym stredným príjmom a krajiny s vyšším stredným alebo vysokým príjmom.</w:t>
            </w:r>
          </w:p>
          <w:p w14:paraId="7EF273C5" w14:textId="77777777" w:rsidR="00430D0E" w:rsidRPr="00305537" w:rsidRDefault="00430D0E" w:rsidP="00430D0E">
            <w:pPr>
              <w:rPr>
                <w:sz w:val="16"/>
                <w:szCs w:val="16"/>
              </w:rPr>
            </w:pPr>
            <w:r w:rsidRPr="00305537">
              <w:rPr>
                <w:sz w:val="16"/>
                <w:szCs w:val="16"/>
              </w:rPr>
              <w:t xml:space="preserve">Na prieskum odpovedalo 43 účastníkov z 22 krajín (46 nemocníc, 85 JIS). Osem (17,4 %) nemocníc nemalo žiadny systém dohľadu pre CLABSI. Približne 7,1 % (n = 6) JIS nemalo žiadny zväzok CLABSI. Dvadsať JIS (23,5 %) nemalo vyhradený kontrolný zoznam. Percento použitia ultrasonografie počas zavádzania katétra, priehľadných </w:t>
            </w:r>
            <w:proofErr w:type="spellStart"/>
            <w:r w:rsidRPr="00305537">
              <w:rPr>
                <w:sz w:val="16"/>
                <w:szCs w:val="16"/>
              </w:rPr>
              <w:t>semipermeabilných</w:t>
            </w:r>
            <w:proofErr w:type="spellEnd"/>
            <w:r w:rsidRPr="00305537">
              <w:rPr>
                <w:sz w:val="16"/>
                <w:szCs w:val="16"/>
              </w:rPr>
              <w:t xml:space="preserve"> obväzov, </w:t>
            </w:r>
            <w:proofErr w:type="spellStart"/>
            <w:r w:rsidRPr="00305537">
              <w:rPr>
                <w:sz w:val="16"/>
                <w:szCs w:val="16"/>
              </w:rPr>
              <w:t>bezihlových</w:t>
            </w:r>
            <w:proofErr w:type="spellEnd"/>
            <w:r w:rsidRPr="00305537">
              <w:rPr>
                <w:sz w:val="16"/>
                <w:szCs w:val="16"/>
              </w:rPr>
              <w:t xml:space="preserve"> konektorov a jednorazových sterilných </w:t>
            </w:r>
            <w:proofErr w:type="spellStart"/>
            <w:r w:rsidRPr="00305537">
              <w:rPr>
                <w:sz w:val="16"/>
                <w:szCs w:val="16"/>
              </w:rPr>
              <w:t>predplnených</w:t>
            </w:r>
            <w:proofErr w:type="spellEnd"/>
            <w:r w:rsidRPr="00305537">
              <w:rPr>
                <w:sz w:val="16"/>
                <w:szCs w:val="16"/>
              </w:rPr>
              <w:t xml:space="preserve"> pripravených na použitie 0,9 % </w:t>
            </w:r>
            <w:proofErr w:type="spellStart"/>
            <w:r w:rsidRPr="00305537">
              <w:rPr>
                <w:sz w:val="16"/>
                <w:szCs w:val="16"/>
              </w:rPr>
              <w:t>NaCl</w:t>
            </w:r>
            <w:proofErr w:type="spellEnd"/>
            <w:r w:rsidRPr="00305537">
              <w:rPr>
                <w:sz w:val="16"/>
                <w:szCs w:val="16"/>
              </w:rPr>
              <w:t xml:space="preserve"> bolo významne vyššie v krajinách s vyšším a stredne vyšším príjmom (P &lt; 0,05).</w:t>
            </w:r>
          </w:p>
          <w:p w14:paraId="4361B2FD" w14:textId="2A5A6F25" w:rsidR="00A55376" w:rsidRDefault="00A55376" w:rsidP="00A55376">
            <w:pPr>
              <w:rPr>
                <w:sz w:val="16"/>
                <w:szCs w:val="16"/>
              </w:rPr>
            </w:pPr>
          </w:p>
          <w:p w14:paraId="5334AAFC" w14:textId="4EA82F24" w:rsidR="00500888" w:rsidRDefault="00500888" w:rsidP="00A55376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BB1D0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BAD14" w14:textId="77777777" w:rsidR="00430D0E" w:rsidRPr="00305537" w:rsidRDefault="00430D0E" w:rsidP="00430D0E">
            <w:pPr>
              <w:rPr>
                <w:sz w:val="16"/>
                <w:szCs w:val="16"/>
              </w:rPr>
            </w:pPr>
            <w:proofErr w:type="spellStart"/>
            <w:r w:rsidRPr="00305537">
              <w:rPr>
                <w:sz w:val="16"/>
                <w:szCs w:val="16"/>
              </w:rPr>
              <w:t>Because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central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line-associated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bloodstream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infections</w:t>
            </w:r>
            <w:proofErr w:type="spellEnd"/>
            <w:r w:rsidRPr="00305537">
              <w:rPr>
                <w:sz w:val="16"/>
                <w:szCs w:val="16"/>
              </w:rPr>
              <w:t xml:space="preserve"> (</w:t>
            </w:r>
            <w:proofErr w:type="spellStart"/>
            <w:r w:rsidRPr="00305537">
              <w:rPr>
                <w:sz w:val="16"/>
                <w:szCs w:val="16"/>
              </w:rPr>
              <w:t>CLABSIs</w:t>
            </w:r>
            <w:proofErr w:type="spellEnd"/>
            <w:r w:rsidRPr="00305537">
              <w:rPr>
                <w:sz w:val="16"/>
                <w:szCs w:val="16"/>
              </w:rPr>
              <w:t xml:space="preserve">) are a </w:t>
            </w:r>
            <w:proofErr w:type="spellStart"/>
            <w:r w:rsidRPr="00305537">
              <w:rPr>
                <w:sz w:val="16"/>
                <w:szCs w:val="16"/>
              </w:rPr>
              <w:t>significant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complication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of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central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venous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access</w:t>
            </w:r>
            <w:proofErr w:type="spellEnd"/>
            <w:r w:rsidRPr="00305537">
              <w:rPr>
                <w:sz w:val="16"/>
                <w:szCs w:val="16"/>
              </w:rPr>
              <w:t xml:space="preserve">, </w:t>
            </w:r>
            <w:proofErr w:type="spellStart"/>
            <w:r w:rsidRPr="00305537">
              <w:rPr>
                <w:sz w:val="16"/>
                <w:szCs w:val="16"/>
              </w:rPr>
              <w:t>it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is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critical</w:t>
            </w:r>
            <w:proofErr w:type="spellEnd"/>
            <w:r w:rsidRPr="00305537">
              <w:rPr>
                <w:sz w:val="16"/>
                <w:szCs w:val="16"/>
              </w:rPr>
              <w:t xml:space="preserve"> to </w:t>
            </w:r>
            <w:proofErr w:type="spellStart"/>
            <w:r w:rsidRPr="00305537">
              <w:rPr>
                <w:sz w:val="16"/>
                <w:szCs w:val="16"/>
              </w:rPr>
              <w:t>prevent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CLABSIs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through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the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use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of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central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line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bundles</w:t>
            </w:r>
            <w:proofErr w:type="spellEnd"/>
            <w:r w:rsidRPr="00305537">
              <w:rPr>
                <w:sz w:val="16"/>
                <w:szCs w:val="16"/>
              </w:rPr>
              <w:t xml:space="preserve">. </w:t>
            </w:r>
            <w:proofErr w:type="spellStart"/>
            <w:r w:rsidRPr="00305537">
              <w:rPr>
                <w:sz w:val="16"/>
                <w:szCs w:val="16"/>
              </w:rPr>
              <w:t>The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purpose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of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this</w:t>
            </w:r>
            <w:proofErr w:type="spellEnd"/>
            <w:r w:rsidRPr="00305537">
              <w:rPr>
                <w:sz w:val="16"/>
                <w:szCs w:val="16"/>
              </w:rPr>
              <w:t xml:space="preserve"> study </w:t>
            </w:r>
            <w:proofErr w:type="spellStart"/>
            <w:r w:rsidRPr="00305537">
              <w:rPr>
                <w:sz w:val="16"/>
                <w:szCs w:val="16"/>
              </w:rPr>
              <w:t>was</w:t>
            </w:r>
            <w:proofErr w:type="spellEnd"/>
            <w:r w:rsidRPr="00305537">
              <w:rPr>
                <w:sz w:val="16"/>
                <w:szCs w:val="16"/>
              </w:rPr>
              <w:t xml:space="preserve"> to </w:t>
            </w:r>
            <w:proofErr w:type="spellStart"/>
            <w:r w:rsidRPr="00305537">
              <w:rPr>
                <w:sz w:val="16"/>
                <w:szCs w:val="16"/>
              </w:rPr>
              <w:t>take</w:t>
            </w:r>
            <w:proofErr w:type="spellEnd"/>
            <w:r w:rsidRPr="00305537">
              <w:rPr>
                <w:sz w:val="16"/>
                <w:szCs w:val="16"/>
              </w:rPr>
              <w:t xml:space="preserve"> a </w:t>
            </w:r>
            <w:proofErr w:type="spellStart"/>
            <w:r w:rsidRPr="00305537">
              <w:rPr>
                <w:sz w:val="16"/>
                <w:szCs w:val="16"/>
              </w:rPr>
              <w:t>snapshot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of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central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venous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access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bundles</w:t>
            </w:r>
            <w:proofErr w:type="spellEnd"/>
            <w:r w:rsidRPr="00305537">
              <w:rPr>
                <w:sz w:val="16"/>
                <w:szCs w:val="16"/>
              </w:rPr>
              <w:t xml:space="preserve"> in </w:t>
            </w:r>
            <w:proofErr w:type="spellStart"/>
            <w:r w:rsidRPr="00305537">
              <w:rPr>
                <w:sz w:val="16"/>
                <w:szCs w:val="16"/>
              </w:rPr>
              <w:t>various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countries</w:t>
            </w:r>
            <w:proofErr w:type="spellEnd"/>
            <w:r w:rsidRPr="00305537">
              <w:rPr>
                <w:sz w:val="16"/>
                <w:szCs w:val="16"/>
              </w:rPr>
              <w:t>.</w:t>
            </w:r>
          </w:p>
          <w:p w14:paraId="589BB58D" w14:textId="77777777" w:rsidR="00430D0E" w:rsidRDefault="00430D0E" w:rsidP="00430D0E">
            <w:pPr>
              <w:rPr>
                <w:sz w:val="16"/>
                <w:szCs w:val="16"/>
              </w:rPr>
            </w:pPr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The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participants</w:t>
            </w:r>
            <w:proofErr w:type="spellEnd"/>
            <w:r w:rsidRPr="00305537">
              <w:rPr>
                <w:sz w:val="16"/>
                <w:szCs w:val="16"/>
              </w:rPr>
              <w:t xml:space="preserve"> in </w:t>
            </w:r>
            <w:proofErr w:type="spellStart"/>
            <w:r w:rsidRPr="00305537">
              <w:rPr>
                <w:sz w:val="16"/>
                <w:szCs w:val="16"/>
              </w:rPr>
              <w:t>intensive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care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units</w:t>
            </w:r>
            <w:proofErr w:type="spellEnd"/>
            <w:r w:rsidRPr="00305537">
              <w:rPr>
                <w:sz w:val="16"/>
                <w:szCs w:val="16"/>
              </w:rPr>
              <w:t xml:space="preserve"> (</w:t>
            </w:r>
            <w:proofErr w:type="spellStart"/>
            <w:r w:rsidRPr="00305537">
              <w:rPr>
                <w:sz w:val="16"/>
                <w:szCs w:val="16"/>
              </w:rPr>
              <w:t>ICUs</w:t>
            </w:r>
            <w:proofErr w:type="spellEnd"/>
            <w:r w:rsidRPr="00305537">
              <w:rPr>
                <w:sz w:val="16"/>
                <w:szCs w:val="16"/>
              </w:rPr>
              <w:t xml:space="preserve">) </w:t>
            </w:r>
            <w:proofErr w:type="spellStart"/>
            <w:r w:rsidRPr="00305537">
              <w:rPr>
                <w:sz w:val="16"/>
                <w:szCs w:val="16"/>
              </w:rPr>
              <w:t>completed</w:t>
            </w:r>
            <w:proofErr w:type="spellEnd"/>
            <w:r w:rsidRPr="00305537">
              <w:rPr>
                <w:sz w:val="16"/>
                <w:szCs w:val="16"/>
              </w:rPr>
              <w:t xml:space="preserve"> a </w:t>
            </w:r>
            <w:proofErr w:type="spellStart"/>
            <w:r w:rsidRPr="00305537">
              <w:rPr>
                <w:sz w:val="16"/>
                <w:szCs w:val="16"/>
              </w:rPr>
              <w:t>questionnaire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that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included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information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about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the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health</w:t>
            </w:r>
            <w:proofErr w:type="spellEnd"/>
            <w:r w:rsidRPr="00305537">
              <w:rPr>
                <w:sz w:val="16"/>
                <w:szCs w:val="16"/>
              </w:rPr>
              <w:t xml:space="preserve"> center, </w:t>
            </w:r>
            <w:proofErr w:type="spellStart"/>
            <w:r w:rsidRPr="00305537">
              <w:rPr>
                <w:sz w:val="16"/>
                <w:szCs w:val="16"/>
              </w:rPr>
              <w:t>infection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control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procedures</w:t>
            </w:r>
            <w:proofErr w:type="spellEnd"/>
            <w:r w:rsidRPr="00305537">
              <w:rPr>
                <w:sz w:val="16"/>
                <w:szCs w:val="16"/>
              </w:rPr>
              <w:t xml:space="preserve">, and </w:t>
            </w:r>
            <w:proofErr w:type="spellStart"/>
            <w:r w:rsidRPr="00305537">
              <w:rPr>
                <w:sz w:val="16"/>
                <w:szCs w:val="16"/>
              </w:rPr>
              <w:t>central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line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maintenance</w:t>
            </w:r>
            <w:proofErr w:type="spellEnd"/>
            <w:r w:rsidRPr="00305537">
              <w:rPr>
                <w:sz w:val="16"/>
                <w:szCs w:val="16"/>
              </w:rPr>
              <w:t xml:space="preserve">. </w:t>
            </w:r>
            <w:proofErr w:type="spellStart"/>
            <w:r w:rsidRPr="00305537">
              <w:rPr>
                <w:sz w:val="16"/>
                <w:szCs w:val="16"/>
              </w:rPr>
              <w:t>The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countries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were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divided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into</w:t>
            </w:r>
            <w:proofErr w:type="spellEnd"/>
            <w:r w:rsidRPr="00305537">
              <w:rPr>
                <w:sz w:val="16"/>
                <w:szCs w:val="16"/>
              </w:rPr>
              <w:t xml:space="preserve"> 2 </w:t>
            </w:r>
            <w:proofErr w:type="spellStart"/>
            <w:r w:rsidRPr="00305537">
              <w:rPr>
                <w:sz w:val="16"/>
                <w:szCs w:val="16"/>
              </w:rPr>
              <w:t>groups</w:t>
            </w:r>
            <w:proofErr w:type="spellEnd"/>
            <w:r w:rsidRPr="00305537">
              <w:rPr>
                <w:sz w:val="16"/>
                <w:szCs w:val="16"/>
              </w:rPr>
              <w:t xml:space="preserve">: </w:t>
            </w:r>
            <w:proofErr w:type="spellStart"/>
            <w:r w:rsidRPr="00305537">
              <w:rPr>
                <w:sz w:val="16"/>
                <w:szCs w:val="16"/>
              </w:rPr>
              <w:t>those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with</w:t>
            </w:r>
            <w:proofErr w:type="spellEnd"/>
            <w:r w:rsidRPr="00305537">
              <w:rPr>
                <w:sz w:val="16"/>
                <w:szCs w:val="16"/>
              </w:rPr>
              <w:t xml:space="preserve"> a </w:t>
            </w:r>
            <w:proofErr w:type="spellStart"/>
            <w:r w:rsidRPr="00305537">
              <w:rPr>
                <w:sz w:val="16"/>
                <w:szCs w:val="16"/>
              </w:rPr>
              <w:t>low</w:t>
            </w:r>
            <w:proofErr w:type="spellEnd"/>
            <w:r w:rsidRPr="00305537">
              <w:rPr>
                <w:sz w:val="16"/>
                <w:szCs w:val="16"/>
              </w:rPr>
              <w:t xml:space="preserve"> or </w:t>
            </w:r>
            <w:proofErr w:type="spellStart"/>
            <w:r w:rsidRPr="00305537">
              <w:rPr>
                <w:sz w:val="16"/>
                <w:szCs w:val="16"/>
              </w:rPr>
              <w:t>low-middle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income</w:t>
            </w:r>
            <w:proofErr w:type="spellEnd"/>
            <w:r w:rsidRPr="00305537">
              <w:rPr>
                <w:sz w:val="16"/>
                <w:szCs w:val="16"/>
              </w:rPr>
              <w:t xml:space="preserve"> and </w:t>
            </w:r>
            <w:proofErr w:type="spellStart"/>
            <w:r w:rsidRPr="00305537">
              <w:rPr>
                <w:sz w:val="16"/>
                <w:szCs w:val="16"/>
              </w:rPr>
              <w:t>those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with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an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upper-middle</w:t>
            </w:r>
            <w:proofErr w:type="spellEnd"/>
            <w:r w:rsidRPr="00305537">
              <w:rPr>
                <w:sz w:val="16"/>
                <w:szCs w:val="16"/>
              </w:rPr>
              <w:t xml:space="preserve"> or </w:t>
            </w:r>
            <w:proofErr w:type="spellStart"/>
            <w:r w:rsidRPr="00305537">
              <w:rPr>
                <w:sz w:val="16"/>
                <w:szCs w:val="16"/>
              </w:rPr>
              <w:t>high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income</w:t>
            </w:r>
            <w:proofErr w:type="spellEnd"/>
            <w:r w:rsidRPr="00305537">
              <w:rPr>
                <w:sz w:val="16"/>
                <w:szCs w:val="16"/>
              </w:rPr>
              <w:t>.</w:t>
            </w:r>
          </w:p>
          <w:p w14:paraId="255DE05A" w14:textId="5E872806" w:rsidR="00500888" w:rsidRDefault="00500888" w:rsidP="00430D0E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1750DA42" w:rsidR="00500888" w:rsidRPr="009C7963" w:rsidRDefault="00430D0E" w:rsidP="00430D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05537">
              <w:rPr>
                <w:sz w:val="16"/>
                <w:szCs w:val="16"/>
              </w:rPr>
              <w:t xml:space="preserve">Naša štúdia preukázala, že medzi krajinami s nízkym/nízkym stredným príjmom a krajinami s vyšším stredným/vysokým príjmom existujú významné rozdiely vo zväzkoch centrálnej línie. 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3A998B68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D1D179" w14:textId="77777777" w:rsidR="00430D0E" w:rsidRDefault="00430D0E" w:rsidP="00430D0E">
            <w:pPr>
              <w:rPr>
                <w:sz w:val="16"/>
                <w:szCs w:val="16"/>
              </w:rPr>
            </w:pPr>
            <w:r w:rsidRPr="00305537">
              <w:rPr>
                <w:sz w:val="16"/>
                <w:szCs w:val="16"/>
              </w:rPr>
              <w:t>Mali by sa prijať dodatočné opatrenia na riešenie nerovnosti v riadení cievneho prístupu v krajinách s obmedzenými zdrojmi.</w:t>
            </w:r>
          </w:p>
          <w:p w14:paraId="70409F40" w14:textId="6E948348" w:rsidR="00430D0E" w:rsidRPr="00305537" w:rsidRDefault="00430D0E" w:rsidP="00430D0E">
            <w:pPr>
              <w:rPr>
                <w:sz w:val="16"/>
                <w:szCs w:val="16"/>
              </w:rPr>
            </w:pPr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The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purpose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of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this</w:t>
            </w:r>
            <w:proofErr w:type="spellEnd"/>
            <w:r w:rsidRPr="00305537">
              <w:rPr>
                <w:sz w:val="16"/>
                <w:szCs w:val="16"/>
              </w:rPr>
              <w:t xml:space="preserve"> study </w:t>
            </w:r>
            <w:proofErr w:type="spellStart"/>
            <w:r w:rsidRPr="00305537">
              <w:rPr>
                <w:sz w:val="16"/>
                <w:szCs w:val="16"/>
              </w:rPr>
              <w:t>was</w:t>
            </w:r>
            <w:proofErr w:type="spellEnd"/>
            <w:r w:rsidRPr="00305537">
              <w:rPr>
                <w:sz w:val="16"/>
                <w:szCs w:val="16"/>
              </w:rPr>
              <w:t xml:space="preserve"> to </w:t>
            </w:r>
            <w:proofErr w:type="spellStart"/>
            <w:r w:rsidRPr="00305537">
              <w:rPr>
                <w:sz w:val="16"/>
                <w:szCs w:val="16"/>
              </w:rPr>
              <w:t>take</w:t>
            </w:r>
            <w:proofErr w:type="spellEnd"/>
            <w:r w:rsidRPr="00305537">
              <w:rPr>
                <w:sz w:val="16"/>
                <w:szCs w:val="16"/>
              </w:rPr>
              <w:t xml:space="preserve"> a </w:t>
            </w:r>
            <w:proofErr w:type="spellStart"/>
            <w:r w:rsidRPr="00305537">
              <w:rPr>
                <w:sz w:val="16"/>
                <w:szCs w:val="16"/>
              </w:rPr>
              <w:t>snapshot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of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central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venous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access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bundles</w:t>
            </w:r>
            <w:proofErr w:type="spellEnd"/>
            <w:r w:rsidRPr="00305537">
              <w:rPr>
                <w:sz w:val="16"/>
                <w:szCs w:val="16"/>
              </w:rPr>
              <w:t xml:space="preserve"> in </w:t>
            </w:r>
            <w:proofErr w:type="spellStart"/>
            <w:r w:rsidRPr="00305537">
              <w:rPr>
                <w:sz w:val="16"/>
                <w:szCs w:val="16"/>
              </w:rPr>
              <w:t>various</w:t>
            </w:r>
            <w:proofErr w:type="spellEnd"/>
            <w:r w:rsidRPr="00305537">
              <w:rPr>
                <w:sz w:val="16"/>
                <w:szCs w:val="16"/>
              </w:rPr>
              <w:t xml:space="preserve"> </w:t>
            </w:r>
            <w:proofErr w:type="spellStart"/>
            <w:r w:rsidRPr="00305537">
              <w:rPr>
                <w:sz w:val="16"/>
                <w:szCs w:val="16"/>
              </w:rPr>
              <w:t>countries</w:t>
            </w:r>
            <w:proofErr w:type="spellEnd"/>
            <w:r w:rsidRPr="00305537">
              <w:rPr>
                <w:sz w:val="16"/>
                <w:szCs w:val="16"/>
              </w:rPr>
              <w:t>.</w:t>
            </w:r>
          </w:p>
          <w:p w14:paraId="2A244CA5" w14:textId="16475893" w:rsidR="00500888" w:rsidRDefault="00500888" w:rsidP="00430D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6B9"/>
    <w:multiLevelType w:val="multilevel"/>
    <w:tmpl w:val="30E0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DF2B55"/>
    <w:multiLevelType w:val="hybridMultilevel"/>
    <w:tmpl w:val="2834DE5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88"/>
    <w:rsid w:val="00070362"/>
    <w:rsid w:val="000A2547"/>
    <w:rsid w:val="000B4EB8"/>
    <w:rsid w:val="000E792D"/>
    <w:rsid w:val="00131F27"/>
    <w:rsid w:val="001655DD"/>
    <w:rsid w:val="00166F0A"/>
    <w:rsid w:val="001D22E5"/>
    <w:rsid w:val="00233BF3"/>
    <w:rsid w:val="003F25FF"/>
    <w:rsid w:val="00430D0E"/>
    <w:rsid w:val="00463824"/>
    <w:rsid w:val="00500888"/>
    <w:rsid w:val="005D6C9D"/>
    <w:rsid w:val="00714638"/>
    <w:rsid w:val="007940CF"/>
    <w:rsid w:val="008F0EAC"/>
    <w:rsid w:val="00930CA2"/>
    <w:rsid w:val="00954E17"/>
    <w:rsid w:val="00A55376"/>
    <w:rsid w:val="00AC49DD"/>
    <w:rsid w:val="00B53689"/>
    <w:rsid w:val="00BB1D01"/>
    <w:rsid w:val="00D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paragraph" w:styleId="Odsekzoznamu">
    <w:name w:val="List Paragraph"/>
    <w:basedOn w:val="Normlny"/>
    <w:uiPriority w:val="99"/>
    <w:qFormat/>
    <w:rsid w:val="00A55376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paragraph" w:styleId="Odsekzoznamu">
    <w:name w:val="List Paragraph"/>
    <w:basedOn w:val="Normlny"/>
    <w:uiPriority w:val="99"/>
    <w:qFormat/>
    <w:rsid w:val="00A55376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klinicka mikrobiologia</cp:lastModifiedBy>
  <cp:revision>2</cp:revision>
  <dcterms:created xsi:type="dcterms:W3CDTF">2022-10-19T15:22:00Z</dcterms:created>
  <dcterms:modified xsi:type="dcterms:W3CDTF">2022-10-19T15:22:00Z</dcterms:modified>
</cp:coreProperties>
</file>